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C78" w:rsidRDefault="00924C78" w:rsidP="00924C78">
      <w:pPr>
        <w:spacing w:line="480" w:lineRule="auto"/>
        <w:jc w:val="center"/>
        <w:rPr>
          <w:rFonts w:ascii="Times New Roman" w:hAnsi="Times New Roman" w:cs="Times New Roman"/>
          <w:sz w:val="24"/>
          <w:szCs w:val="24"/>
        </w:rPr>
      </w:pPr>
    </w:p>
    <w:p w:rsidR="00924C78" w:rsidRDefault="00924C78" w:rsidP="00924C78">
      <w:pPr>
        <w:spacing w:line="480" w:lineRule="auto"/>
        <w:jc w:val="center"/>
        <w:rPr>
          <w:rFonts w:ascii="Times New Roman" w:hAnsi="Times New Roman" w:cs="Times New Roman"/>
          <w:sz w:val="24"/>
          <w:szCs w:val="24"/>
        </w:rPr>
      </w:pPr>
    </w:p>
    <w:p w:rsidR="00924C78" w:rsidRDefault="00924C78" w:rsidP="00924C78">
      <w:pPr>
        <w:spacing w:line="480" w:lineRule="auto"/>
        <w:jc w:val="center"/>
        <w:rPr>
          <w:rFonts w:ascii="Times New Roman" w:hAnsi="Times New Roman" w:cs="Times New Roman"/>
          <w:sz w:val="24"/>
          <w:szCs w:val="24"/>
        </w:rPr>
      </w:pPr>
    </w:p>
    <w:p w:rsidR="00924C78" w:rsidRDefault="00924C78" w:rsidP="00924C78">
      <w:pPr>
        <w:spacing w:line="480" w:lineRule="auto"/>
        <w:jc w:val="center"/>
        <w:rPr>
          <w:rFonts w:ascii="Times New Roman" w:hAnsi="Times New Roman" w:cs="Times New Roman"/>
          <w:sz w:val="24"/>
          <w:szCs w:val="24"/>
        </w:rPr>
      </w:pPr>
    </w:p>
    <w:p w:rsidR="00924C78" w:rsidRDefault="00924C78" w:rsidP="00924C78">
      <w:pPr>
        <w:spacing w:line="480" w:lineRule="auto"/>
        <w:jc w:val="center"/>
        <w:rPr>
          <w:rFonts w:ascii="Times New Roman" w:hAnsi="Times New Roman" w:cs="Times New Roman"/>
          <w:sz w:val="24"/>
          <w:szCs w:val="24"/>
        </w:rPr>
      </w:pPr>
    </w:p>
    <w:p w:rsidR="00924C78" w:rsidRDefault="00924C78" w:rsidP="00924C78">
      <w:pPr>
        <w:spacing w:line="480" w:lineRule="auto"/>
        <w:jc w:val="center"/>
        <w:rPr>
          <w:rFonts w:ascii="Times New Roman" w:hAnsi="Times New Roman" w:cs="Times New Roman"/>
          <w:sz w:val="24"/>
          <w:szCs w:val="24"/>
        </w:rPr>
      </w:pPr>
      <w:bookmarkStart w:id="0" w:name="_GoBack"/>
      <w:bookmarkEnd w:id="0"/>
    </w:p>
    <w:p w:rsidR="00E83B0F" w:rsidRPr="00924C78" w:rsidRDefault="00E83B0F" w:rsidP="00924C78">
      <w:pPr>
        <w:spacing w:line="480" w:lineRule="auto"/>
        <w:jc w:val="center"/>
        <w:rPr>
          <w:rFonts w:ascii="Times New Roman" w:hAnsi="Times New Roman" w:cs="Times New Roman"/>
          <w:sz w:val="24"/>
          <w:szCs w:val="24"/>
        </w:rPr>
      </w:pPr>
      <w:r w:rsidRPr="00924C78">
        <w:rPr>
          <w:rFonts w:ascii="Times New Roman" w:hAnsi="Times New Roman" w:cs="Times New Roman"/>
          <w:sz w:val="24"/>
          <w:szCs w:val="24"/>
        </w:rPr>
        <w:t>Cord Blood Collection</w:t>
      </w:r>
    </w:p>
    <w:p w:rsidR="00924C78" w:rsidRDefault="00AB3C33" w:rsidP="00924C7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B3C33" w:rsidRDefault="00AB3C33" w:rsidP="00924C7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AB3C33" w:rsidRDefault="00AB3C33" w:rsidP="00924C7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B3C33" w:rsidRDefault="00AB3C33" w:rsidP="00924C7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B3C33" w:rsidRPr="00924C78" w:rsidRDefault="00AB3C33" w:rsidP="00924C78">
      <w:pPr>
        <w:spacing w:line="480" w:lineRule="auto"/>
        <w:jc w:val="center"/>
        <w:rPr>
          <w:rFonts w:ascii="Times New Roman" w:hAnsi="Times New Roman" w:cs="Times New Roman"/>
          <w:sz w:val="24"/>
          <w:szCs w:val="24"/>
        </w:rPr>
      </w:pPr>
    </w:p>
    <w:p w:rsidR="00924C78" w:rsidRDefault="00924C78" w:rsidP="00E83B0F"/>
    <w:p w:rsidR="00924C78" w:rsidRDefault="00924C78" w:rsidP="00924C78">
      <w:pPr>
        <w:jc w:val="center"/>
        <w:rPr>
          <w:b/>
        </w:rPr>
      </w:pPr>
    </w:p>
    <w:p w:rsidR="00924C78" w:rsidRDefault="00924C78" w:rsidP="00924C78">
      <w:pPr>
        <w:jc w:val="center"/>
        <w:rPr>
          <w:b/>
        </w:rPr>
      </w:pPr>
    </w:p>
    <w:p w:rsidR="00924C78" w:rsidRDefault="00924C78" w:rsidP="00924C78">
      <w:pPr>
        <w:jc w:val="center"/>
        <w:rPr>
          <w:b/>
        </w:rPr>
      </w:pPr>
    </w:p>
    <w:p w:rsidR="00A872A6" w:rsidRDefault="00A872A6" w:rsidP="00924C78">
      <w:pPr>
        <w:jc w:val="center"/>
        <w:rPr>
          <w:b/>
        </w:rPr>
      </w:pPr>
    </w:p>
    <w:p w:rsidR="00A872A6" w:rsidRDefault="00A872A6" w:rsidP="00924C78">
      <w:pPr>
        <w:jc w:val="center"/>
        <w:rPr>
          <w:b/>
        </w:rPr>
      </w:pPr>
    </w:p>
    <w:p w:rsidR="00924C78" w:rsidRDefault="00924C78" w:rsidP="00924C78">
      <w:pPr>
        <w:jc w:val="center"/>
        <w:rPr>
          <w:b/>
        </w:rPr>
      </w:pPr>
    </w:p>
    <w:p w:rsidR="00E83B0F" w:rsidRPr="00924C78" w:rsidRDefault="00E83B0F" w:rsidP="00AB3C33">
      <w:pPr>
        <w:spacing w:line="480" w:lineRule="auto"/>
        <w:ind w:firstLine="720"/>
        <w:rPr>
          <w:rFonts w:ascii="Times New Roman" w:hAnsi="Times New Roman" w:cs="Times New Roman"/>
          <w:sz w:val="24"/>
          <w:szCs w:val="24"/>
        </w:rPr>
      </w:pPr>
      <w:r w:rsidRPr="00924C78">
        <w:rPr>
          <w:rFonts w:ascii="Times New Roman" w:hAnsi="Times New Roman" w:cs="Times New Roman"/>
          <w:sz w:val="24"/>
          <w:szCs w:val="24"/>
        </w:rPr>
        <w:lastRenderedPageBreak/>
        <w:t xml:space="preserve">Today, the most important and controversial topics in the world of science and technology are on the cord blood collection and stem cell research. Cord blood collection is the process of banking stem cells for potential medical use. A research has shown that the blood within the umbilical cord of a newborn has young stem cells that can </w:t>
      </w:r>
      <w:r w:rsidR="00924C78" w:rsidRPr="00924C78">
        <w:rPr>
          <w:rFonts w:ascii="Times New Roman" w:hAnsi="Times New Roman" w:cs="Times New Roman"/>
          <w:sz w:val="24"/>
          <w:szCs w:val="24"/>
        </w:rPr>
        <w:t>replenish</w:t>
      </w:r>
      <w:r w:rsidRPr="00924C78">
        <w:rPr>
          <w:rFonts w:ascii="Times New Roman" w:hAnsi="Times New Roman" w:cs="Times New Roman"/>
          <w:sz w:val="24"/>
          <w:szCs w:val="24"/>
        </w:rPr>
        <w:t xml:space="preserve"> themselves and be </w:t>
      </w:r>
      <w:r w:rsidR="00924C78" w:rsidRPr="00924C78">
        <w:rPr>
          <w:rFonts w:ascii="Times New Roman" w:hAnsi="Times New Roman" w:cs="Times New Roman"/>
          <w:sz w:val="24"/>
          <w:szCs w:val="24"/>
        </w:rPr>
        <w:t>specific</w:t>
      </w:r>
      <w:r w:rsidRPr="00924C78">
        <w:rPr>
          <w:rFonts w:ascii="Times New Roman" w:hAnsi="Times New Roman" w:cs="Times New Roman"/>
          <w:sz w:val="24"/>
          <w:szCs w:val="24"/>
        </w:rPr>
        <w:t xml:space="preserve">. Hence, they have been </w:t>
      </w:r>
      <w:r w:rsidR="00924C78" w:rsidRPr="00924C78">
        <w:rPr>
          <w:rFonts w:ascii="Times New Roman" w:hAnsi="Times New Roman" w:cs="Times New Roman"/>
          <w:sz w:val="24"/>
          <w:szCs w:val="24"/>
        </w:rPr>
        <w:t>confirmed</w:t>
      </w:r>
      <w:r w:rsidRPr="00924C78">
        <w:rPr>
          <w:rFonts w:ascii="Times New Roman" w:hAnsi="Times New Roman" w:cs="Times New Roman"/>
          <w:sz w:val="24"/>
          <w:szCs w:val="24"/>
        </w:rPr>
        <w:t xml:space="preserve"> in </w:t>
      </w:r>
      <w:r w:rsidR="00924C78" w:rsidRPr="00924C78">
        <w:rPr>
          <w:rFonts w:ascii="Times New Roman" w:hAnsi="Times New Roman" w:cs="Times New Roman"/>
          <w:sz w:val="24"/>
          <w:szCs w:val="24"/>
        </w:rPr>
        <w:t>healing</w:t>
      </w:r>
      <w:r w:rsidRPr="00924C78">
        <w:rPr>
          <w:rFonts w:ascii="Times New Roman" w:hAnsi="Times New Roman" w:cs="Times New Roman"/>
          <w:sz w:val="24"/>
          <w:szCs w:val="24"/>
        </w:rPr>
        <w:t xml:space="preserve"> by helping infants </w:t>
      </w:r>
      <w:r w:rsidR="00924C78" w:rsidRPr="00924C78">
        <w:rPr>
          <w:rFonts w:ascii="Times New Roman" w:hAnsi="Times New Roman" w:cs="Times New Roman"/>
          <w:sz w:val="24"/>
          <w:szCs w:val="24"/>
        </w:rPr>
        <w:t>reinstate</w:t>
      </w:r>
      <w:r w:rsidRPr="00924C78">
        <w:rPr>
          <w:rFonts w:ascii="Times New Roman" w:hAnsi="Times New Roman" w:cs="Times New Roman"/>
          <w:sz w:val="24"/>
          <w:szCs w:val="24"/>
        </w:rPr>
        <w:t xml:space="preserve"> the </w:t>
      </w:r>
      <w:r w:rsidR="00924C78" w:rsidRPr="00924C78">
        <w:rPr>
          <w:rFonts w:ascii="Times New Roman" w:hAnsi="Times New Roman" w:cs="Times New Roman"/>
          <w:sz w:val="24"/>
          <w:szCs w:val="24"/>
        </w:rPr>
        <w:t>injured</w:t>
      </w:r>
      <w:r w:rsidRPr="00924C78">
        <w:rPr>
          <w:rFonts w:ascii="Times New Roman" w:hAnsi="Times New Roman" w:cs="Times New Roman"/>
          <w:sz w:val="24"/>
          <w:szCs w:val="24"/>
        </w:rPr>
        <w:t xml:space="preserve"> blood cells with healthy ones thus strengthening the immune system of children (Pavlovic&amp;Balint, 2013). Therefore, it is the essence that nurses have a deep comprehension of the research area of cord blood collection. Looking at the topic of cord blood collection, the paper will explore a nursing diagnosis (NANDA), learning objectives and methodology, as well as provide and utilize some teaching aids.  </w:t>
      </w:r>
    </w:p>
    <w:p w:rsidR="00E83B0F" w:rsidRPr="00AB3C33" w:rsidRDefault="00E83B0F" w:rsidP="00924C78">
      <w:pPr>
        <w:spacing w:line="480" w:lineRule="auto"/>
        <w:ind w:firstLine="720"/>
        <w:jc w:val="center"/>
        <w:rPr>
          <w:rFonts w:ascii="Times New Roman" w:hAnsi="Times New Roman" w:cs="Times New Roman"/>
          <w:sz w:val="24"/>
          <w:szCs w:val="24"/>
        </w:rPr>
      </w:pPr>
      <w:r w:rsidRPr="00AB3C33">
        <w:rPr>
          <w:rFonts w:ascii="Times New Roman" w:hAnsi="Times New Roman" w:cs="Times New Roman"/>
          <w:sz w:val="24"/>
          <w:szCs w:val="24"/>
        </w:rPr>
        <w:t>Nursing Diagnosis (NANDA)</w:t>
      </w:r>
    </w:p>
    <w:p w:rsidR="00E83B0F" w:rsidRPr="00924C78" w:rsidRDefault="00E83B0F" w:rsidP="00924C78">
      <w:pPr>
        <w:spacing w:line="480" w:lineRule="auto"/>
        <w:ind w:firstLine="720"/>
        <w:rPr>
          <w:rFonts w:ascii="Times New Roman" w:hAnsi="Times New Roman" w:cs="Times New Roman"/>
          <w:sz w:val="24"/>
          <w:szCs w:val="24"/>
        </w:rPr>
      </w:pPr>
      <w:r w:rsidRPr="00924C78">
        <w:rPr>
          <w:rFonts w:ascii="Times New Roman" w:hAnsi="Times New Roman" w:cs="Times New Roman"/>
          <w:sz w:val="24"/>
          <w:szCs w:val="24"/>
        </w:rPr>
        <w:t xml:space="preserve">The North American Nursing Diagnosis Association founded in 1982 enables nurses to ethically make decisions on the efficacy of stem cell research and cord blood collection. The first step of NANDA in cord blood collection is an assessment. This involves the collection of cord blood after infant delivery with no injury to the mother or child. In case of any risk, the nurse will be able to offer diagnosis from the results given or seen in the patient and be able to manage it. Planning and evaluation will also follow where the nurse will collect the cord blood through acceptable methods. One method will involve collecting blood immediately after delivery before the placenta separate from uterus walls (Moustafa&amp;Youness, 2015). The other method will involve delivering the placenta with the cord clamped and passed from the field of delivery to an attendant that carries out the cord blood collection.  </w:t>
      </w:r>
    </w:p>
    <w:p w:rsidR="00E83B0F" w:rsidRPr="00AB3C33" w:rsidRDefault="00E83B0F" w:rsidP="00924C78">
      <w:pPr>
        <w:spacing w:line="480" w:lineRule="auto"/>
        <w:ind w:firstLine="720"/>
        <w:jc w:val="center"/>
        <w:rPr>
          <w:rFonts w:ascii="Times New Roman" w:hAnsi="Times New Roman" w:cs="Times New Roman"/>
          <w:sz w:val="24"/>
          <w:szCs w:val="24"/>
        </w:rPr>
      </w:pPr>
      <w:r w:rsidRPr="00AB3C33">
        <w:rPr>
          <w:rFonts w:ascii="Times New Roman" w:hAnsi="Times New Roman" w:cs="Times New Roman"/>
          <w:sz w:val="24"/>
          <w:szCs w:val="24"/>
        </w:rPr>
        <w:t>Learning Objectives</w:t>
      </w:r>
    </w:p>
    <w:p w:rsidR="00E83B0F" w:rsidRPr="00924C78" w:rsidRDefault="00E83B0F" w:rsidP="00924C78">
      <w:pPr>
        <w:spacing w:line="480" w:lineRule="auto"/>
        <w:ind w:firstLine="720"/>
        <w:rPr>
          <w:rFonts w:ascii="Times New Roman" w:hAnsi="Times New Roman" w:cs="Times New Roman"/>
          <w:sz w:val="24"/>
          <w:szCs w:val="24"/>
        </w:rPr>
      </w:pPr>
      <w:r w:rsidRPr="00924C78">
        <w:rPr>
          <w:rFonts w:ascii="Times New Roman" w:hAnsi="Times New Roman" w:cs="Times New Roman"/>
          <w:sz w:val="24"/>
          <w:szCs w:val="24"/>
        </w:rPr>
        <w:lastRenderedPageBreak/>
        <w:t xml:space="preserve">One of the learning objectives is for students to understand some of the roles nurses may involve in during cord blood collection. Some of these roles include preparation, labeling of tubes, and packaging of cord blood in Styrofoam box for return and in some cases they can prep collection tubes with heparin (Onoyama, et.al 2016). By the use of sterile technique, the blood is drawn from both the artery and vein of umbilical and stored in a collection bag. The other objective is for students to understand the benefits that come along with cord blood collection. From the research, collected cord blood has shown to be of abundance source of stem cells which are genetically connected to the baby and family. They have shown to contribute highly to the growth of all tissues, organs, and body systems. They are also able to transform into other types of cell hence creating new growth and development. Due to this, they are able to treat various diseases such as leukemia, health disorders, and other bone marrow diseases. </w:t>
      </w:r>
    </w:p>
    <w:p w:rsidR="00E83B0F" w:rsidRPr="00A872A6" w:rsidRDefault="00E83B0F" w:rsidP="00924C78">
      <w:pPr>
        <w:spacing w:line="480" w:lineRule="auto"/>
        <w:ind w:firstLine="720"/>
        <w:jc w:val="center"/>
        <w:rPr>
          <w:rFonts w:ascii="Times New Roman" w:hAnsi="Times New Roman" w:cs="Times New Roman"/>
          <w:sz w:val="24"/>
          <w:szCs w:val="24"/>
        </w:rPr>
      </w:pPr>
      <w:r w:rsidRPr="00A872A6">
        <w:rPr>
          <w:rFonts w:ascii="Times New Roman" w:hAnsi="Times New Roman" w:cs="Times New Roman"/>
          <w:sz w:val="24"/>
          <w:szCs w:val="24"/>
        </w:rPr>
        <w:t>Methodology</w:t>
      </w:r>
    </w:p>
    <w:p w:rsidR="00E83B0F" w:rsidRPr="00924C78" w:rsidRDefault="00E83B0F" w:rsidP="00924C78">
      <w:pPr>
        <w:spacing w:line="480" w:lineRule="auto"/>
        <w:ind w:firstLine="720"/>
        <w:rPr>
          <w:rFonts w:ascii="Times New Roman" w:hAnsi="Times New Roman" w:cs="Times New Roman"/>
          <w:sz w:val="24"/>
          <w:szCs w:val="24"/>
        </w:rPr>
      </w:pPr>
      <w:r w:rsidRPr="00924C78">
        <w:rPr>
          <w:rFonts w:ascii="Times New Roman" w:hAnsi="Times New Roman" w:cs="Times New Roman"/>
          <w:sz w:val="24"/>
          <w:szCs w:val="24"/>
        </w:rPr>
        <w:t xml:space="preserve"> To engage students in the class, one can involve various teaching methods that can effectively engage both the teacher and the students. One of them is the assessment method which can give educators better comprehension of what students need to learn hence enabling students to dig deeper into the learning process (Boudett&amp;Murnane, 2013).  Engaged pedagogy is another methodology that encourages the interaction of students within themselves. Also, quantitative reasoning methodology can be employed in teaching and this intentionally links quantitative reasoning goals and objectives in the classroom. Furthermore, the instructor can use teaching with data methodology by providing a detailed map of how data can be co-linked in the instructions.  </w:t>
      </w:r>
    </w:p>
    <w:p w:rsidR="00E83B0F" w:rsidRPr="00AB3C33" w:rsidRDefault="00E83B0F" w:rsidP="00924C78">
      <w:pPr>
        <w:spacing w:line="480" w:lineRule="auto"/>
        <w:ind w:firstLine="720"/>
        <w:jc w:val="center"/>
        <w:rPr>
          <w:rFonts w:ascii="Times New Roman" w:hAnsi="Times New Roman" w:cs="Times New Roman"/>
          <w:sz w:val="24"/>
          <w:szCs w:val="24"/>
        </w:rPr>
      </w:pPr>
      <w:r w:rsidRPr="00AB3C33">
        <w:rPr>
          <w:rFonts w:ascii="Times New Roman" w:hAnsi="Times New Roman" w:cs="Times New Roman"/>
          <w:sz w:val="24"/>
          <w:szCs w:val="24"/>
        </w:rPr>
        <w:t>Teaching Aids and Needed Resources</w:t>
      </w:r>
    </w:p>
    <w:p w:rsidR="00E83B0F" w:rsidRPr="00924C78" w:rsidRDefault="00E83B0F" w:rsidP="00924C78">
      <w:pPr>
        <w:spacing w:line="480" w:lineRule="auto"/>
        <w:ind w:firstLine="720"/>
        <w:rPr>
          <w:rFonts w:ascii="Times New Roman" w:hAnsi="Times New Roman" w:cs="Times New Roman"/>
          <w:sz w:val="24"/>
          <w:szCs w:val="24"/>
        </w:rPr>
      </w:pPr>
      <w:r w:rsidRPr="00924C78">
        <w:rPr>
          <w:rFonts w:ascii="Times New Roman" w:hAnsi="Times New Roman" w:cs="Times New Roman"/>
          <w:sz w:val="24"/>
          <w:szCs w:val="24"/>
        </w:rPr>
        <w:lastRenderedPageBreak/>
        <w:t>To enhance and enliven the knowledge of students, instructors can use various teaching aids. Some of the teaching aids include Audio Aids and Visual Aids which encourage a sense of hearing and sight among students hence giving them a deeper understanding of the cord blood collection</w:t>
      </w:r>
      <w:r w:rsidR="00A872A6">
        <w:rPr>
          <w:rFonts w:ascii="Times New Roman" w:hAnsi="Times New Roman" w:cs="Times New Roman"/>
          <w:sz w:val="24"/>
          <w:szCs w:val="24"/>
        </w:rPr>
        <w:t xml:space="preserve"> </w:t>
      </w:r>
      <w:r w:rsidR="00A872A6" w:rsidRPr="00924C78">
        <w:rPr>
          <w:rFonts w:ascii="Times New Roman" w:hAnsi="Times New Roman" w:cs="Times New Roman"/>
          <w:sz w:val="24"/>
          <w:szCs w:val="24"/>
        </w:rPr>
        <w:t>(Moustafa&amp;Youness, 2015</w:t>
      </w:r>
      <w:r w:rsidR="00A872A6">
        <w:rPr>
          <w:rFonts w:ascii="Times New Roman" w:hAnsi="Times New Roman" w:cs="Times New Roman"/>
          <w:sz w:val="24"/>
          <w:szCs w:val="24"/>
        </w:rPr>
        <w:t>)</w:t>
      </w:r>
      <w:r w:rsidRPr="00924C78">
        <w:rPr>
          <w:rFonts w:ascii="Times New Roman" w:hAnsi="Times New Roman" w:cs="Times New Roman"/>
          <w:sz w:val="24"/>
          <w:szCs w:val="24"/>
        </w:rPr>
        <w:t xml:space="preserve">. Charts, maps, and graphs can also be included as well as textbooks like NNA-NOC-NIC books. The needed resources for cord blood collection are the syringe methods and bag methods for blood drawn. Also, hematopoietic cell transportation is required to lower the risk of graft failure. </w:t>
      </w:r>
    </w:p>
    <w:p w:rsidR="00924C78" w:rsidRDefault="00924C78" w:rsidP="00924C78">
      <w:pPr>
        <w:spacing w:line="480" w:lineRule="auto"/>
        <w:jc w:val="center"/>
        <w:rPr>
          <w:rFonts w:ascii="Times New Roman" w:hAnsi="Times New Roman" w:cs="Times New Roman"/>
          <w:b/>
          <w:sz w:val="24"/>
          <w:szCs w:val="24"/>
        </w:rPr>
      </w:pPr>
    </w:p>
    <w:p w:rsidR="00924C78" w:rsidRDefault="00924C78" w:rsidP="00924C78">
      <w:pPr>
        <w:spacing w:line="480" w:lineRule="auto"/>
        <w:jc w:val="center"/>
        <w:rPr>
          <w:rFonts w:ascii="Times New Roman" w:hAnsi="Times New Roman" w:cs="Times New Roman"/>
          <w:b/>
          <w:sz w:val="24"/>
          <w:szCs w:val="24"/>
        </w:rPr>
      </w:pPr>
    </w:p>
    <w:p w:rsidR="00924C78" w:rsidRDefault="00924C78" w:rsidP="00924C78">
      <w:pPr>
        <w:spacing w:line="480" w:lineRule="auto"/>
        <w:jc w:val="center"/>
        <w:rPr>
          <w:rFonts w:ascii="Times New Roman" w:hAnsi="Times New Roman" w:cs="Times New Roman"/>
          <w:b/>
          <w:sz w:val="24"/>
          <w:szCs w:val="24"/>
        </w:rPr>
      </w:pPr>
    </w:p>
    <w:p w:rsidR="00924C78" w:rsidRDefault="00924C78" w:rsidP="00924C78">
      <w:pPr>
        <w:spacing w:line="480" w:lineRule="auto"/>
        <w:jc w:val="center"/>
        <w:rPr>
          <w:rFonts w:ascii="Times New Roman" w:hAnsi="Times New Roman" w:cs="Times New Roman"/>
          <w:b/>
          <w:sz w:val="24"/>
          <w:szCs w:val="24"/>
        </w:rPr>
      </w:pPr>
    </w:p>
    <w:p w:rsidR="00924C78" w:rsidRDefault="00924C78" w:rsidP="00924C78">
      <w:pPr>
        <w:spacing w:line="480" w:lineRule="auto"/>
        <w:jc w:val="center"/>
        <w:rPr>
          <w:rFonts w:ascii="Times New Roman" w:hAnsi="Times New Roman" w:cs="Times New Roman"/>
          <w:b/>
          <w:sz w:val="24"/>
          <w:szCs w:val="24"/>
        </w:rPr>
      </w:pPr>
    </w:p>
    <w:p w:rsidR="00924C78" w:rsidRDefault="00924C78" w:rsidP="00924C78">
      <w:pPr>
        <w:spacing w:line="480" w:lineRule="auto"/>
        <w:jc w:val="center"/>
        <w:rPr>
          <w:rFonts w:ascii="Times New Roman" w:hAnsi="Times New Roman" w:cs="Times New Roman"/>
          <w:b/>
          <w:sz w:val="24"/>
          <w:szCs w:val="24"/>
        </w:rPr>
      </w:pPr>
    </w:p>
    <w:p w:rsidR="00924C78" w:rsidRDefault="00924C78" w:rsidP="00924C78">
      <w:pPr>
        <w:spacing w:line="480" w:lineRule="auto"/>
        <w:jc w:val="center"/>
        <w:rPr>
          <w:rFonts w:ascii="Times New Roman" w:hAnsi="Times New Roman" w:cs="Times New Roman"/>
          <w:b/>
          <w:sz w:val="24"/>
          <w:szCs w:val="24"/>
        </w:rPr>
      </w:pPr>
    </w:p>
    <w:p w:rsidR="00924C78" w:rsidRDefault="00924C78" w:rsidP="00924C78">
      <w:pPr>
        <w:spacing w:line="480" w:lineRule="auto"/>
        <w:jc w:val="center"/>
        <w:rPr>
          <w:rFonts w:ascii="Times New Roman" w:hAnsi="Times New Roman" w:cs="Times New Roman"/>
          <w:b/>
          <w:sz w:val="24"/>
          <w:szCs w:val="24"/>
        </w:rPr>
      </w:pPr>
    </w:p>
    <w:p w:rsidR="00924C78" w:rsidRDefault="00924C78" w:rsidP="00924C78">
      <w:pPr>
        <w:spacing w:line="480" w:lineRule="auto"/>
        <w:jc w:val="center"/>
        <w:rPr>
          <w:rFonts w:ascii="Times New Roman" w:hAnsi="Times New Roman" w:cs="Times New Roman"/>
          <w:b/>
          <w:sz w:val="24"/>
          <w:szCs w:val="24"/>
        </w:rPr>
      </w:pPr>
    </w:p>
    <w:p w:rsidR="00924C78" w:rsidRDefault="00924C78" w:rsidP="00924C78">
      <w:pPr>
        <w:spacing w:line="480" w:lineRule="auto"/>
        <w:jc w:val="center"/>
        <w:rPr>
          <w:rFonts w:ascii="Times New Roman" w:hAnsi="Times New Roman" w:cs="Times New Roman"/>
          <w:b/>
          <w:sz w:val="24"/>
          <w:szCs w:val="24"/>
        </w:rPr>
      </w:pPr>
    </w:p>
    <w:p w:rsidR="00924C78" w:rsidRDefault="00924C78" w:rsidP="00924C78">
      <w:pPr>
        <w:spacing w:line="480" w:lineRule="auto"/>
        <w:jc w:val="center"/>
        <w:rPr>
          <w:rFonts w:ascii="Times New Roman" w:hAnsi="Times New Roman" w:cs="Times New Roman"/>
          <w:b/>
          <w:sz w:val="24"/>
          <w:szCs w:val="24"/>
        </w:rPr>
      </w:pPr>
    </w:p>
    <w:p w:rsidR="00AB3C33" w:rsidRDefault="00AB3C33" w:rsidP="00924C78">
      <w:pPr>
        <w:spacing w:line="480" w:lineRule="auto"/>
        <w:jc w:val="center"/>
        <w:rPr>
          <w:rFonts w:ascii="Times New Roman" w:hAnsi="Times New Roman" w:cs="Times New Roman"/>
          <w:b/>
          <w:sz w:val="24"/>
          <w:szCs w:val="24"/>
        </w:rPr>
      </w:pPr>
    </w:p>
    <w:p w:rsidR="00E83B0F" w:rsidRPr="00AB3C33" w:rsidRDefault="00E83B0F" w:rsidP="00924C78">
      <w:pPr>
        <w:spacing w:line="480" w:lineRule="auto"/>
        <w:jc w:val="center"/>
        <w:rPr>
          <w:rFonts w:ascii="Times New Roman" w:hAnsi="Times New Roman" w:cs="Times New Roman"/>
          <w:sz w:val="24"/>
          <w:szCs w:val="24"/>
        </w:rPr>
      </w:pPr>
      <w:r w:rsidRPr="00AB3C33">
        <w:rPr>
          <w:rFonts w:ascii="Times New Roman" w:hAnsi="Times New Roman" w:cs="Times New Roman"/>
          <w:sz w:val="24"/>
          <w:szCs w:val="24"/>
        </w:rPr>
        <w:lastRenderedPageBreak/>
        <w:t>References</w:t>
      </w:r>
    </w:p>
    <w:p w:rsidR="00E83B0F" w:rsidRPr="00924C78" w:rsidRDefault="00E83B0F" w:rsidP="00924C78">
      <w:pPr>
        <w:spacing w:line="480" w:lineRule="auto"/>
        <w:ind w:left="720" w:hanging="720"/>
        <w:rPr>
          <w:rFonts w:ascii="Times New Roman" w:hAnsi="Times New Roman" w:cs="Times New Roman"/>
          <w:sz w:val="24"/>
          <w:szCs w:val="24"/>
        </w:rPr>
      </w:pPr>
      <w:r w:rsidRPr="00924C78">
        <w:rPr>
          <w:rFonts w:ascii="Times New Roman" w:hAnsi="Times New Roman" w:cs="Times New Roman"/>
          <w:sz w:val="24"/>
          <w:szCs w:val="24"/>
        </w:rPr>
        <w:t>Boudett, K. P., &amp;Murnane, R. J. (2013). Data wise: A step by step guide to using assessment results to improve teaching and learning. Harvard Education Press. 8 Story Street First Floor, Cambridge, MA 02138.</w:t>
      </w:r>
    </w:p>
    <w:p w:rsidR="00E83B0F" w:rsidRPr="00924C78" w:rsidRDefault="00E83B0F" w:rsidP="00924C78">
      <w:pPr>
        <w:spacing w:line="480" w:lineRule="auto"/>
        <w:ind w:left="720" w:hanging="720"/>
        <w:rPr>
          <w:rFonts w:ascii="Times New Roman" w:hAnsi="Times New Roman" w:cs="Times New Roman"/>
          <w:sz w:val="24"/>
          <w:szCs w:val="24"/>
        </w:rPr>
      </w:pPr>
      <w:r w:rsidRPr="00924C78">
        <w:rPr>
          <w:rFonts w:ascii="Times New Roman" w:hAnsi="Times New Roman" w:cs="Times New Roman"/>
          <w:sz w:val="24"/>
          <w:szCs w:val="24"/>
        </w:rPr>
        <w:t>Moustafa, M. F., &amp;Youness, E. M. (2015). Nurses' knowledge about umbilical cord blood banking and it's barriers. IOSR J Nurs Health Sci, 4(2), 44-53.</w:t>
      </w:r>
    </w:p>
    <w:p w:rsidR="00E83B0F" w:rsidRPr="00924C78" w:rsidRDefault="00E83B0F" w:rsidP="00924C78">
      <w:pPr>
        <w:spacing w:line="480" w:lineRule="auto"/>
        <w:ind w:left="720" w:hanging="720"/>
        <w:rPr>
          <w:rFonts w:ascii="Times New Roman" w:hAnsi="Times New Roman" w:cs="Times New Roman"/>
          <w:sz w:val="24"/>
          <w:szCs w:val="24"/>
        </w:rPr>
      </w:pPr>
      <w:r w:rsidRPr="00924C78">
        <w:rPr>
          <w:rFonts w:ascii="Times New Roman" w:hAnsi="Times New Roman" w:cs="Times New Roman"/>
          <w:sz w:val="24"/>
          <w:szCs w:val="24"/>
        </w:rPr>
        <w:t>Onoyama, S., Qiu, L., Low, H. P., Chang, C. I., Strohsnitter, W. C., Norwitz, E. R., ... &amp;Lagiou, P. (2016). Prenatal Maternal Physical Activity and Stem Cells in Umbilical Cord Blood. Medicine and science in sports and exercise, 48(1), 82-89.</w:t>
      </w:r>
    </w:p>
    <w:p w:rsidR="00EC0942" w:rsidRPr="00924C78" w:rsidRDefault="00E83B0F" w:rsidP="00924C78">
      <w:pPr>
        <w:spacing w:line="480" w:lineRule="auto"/>
        <w:ind w:left="720" w:hanging="720"/>
        <w:rPr>
          <w:rFonts w:ascii="Times New Roman" w:hAnsi="Times New Roman" w:cs="Times New Roman"/>
          <w:sz w:val="24"/>
          <w:szCs w:val="24"/>
        </w:rPr>
      </w:pPr>
      <w:r w:rsidRPr="00924C78">
        <w:rPr>
          <w:rFonts w:ascii="Times New Roman" w:hAnsi="Times New Roman" w:cs="Times New Roman"/>
          <w:sz w:val="24"/>
          <w:szCs w:val="24"/>
        </w:rPr>
        <w:t>Pavlovic, M., &amp;Balint, B. (2013). Cord Blood Stem Cells. In Stem Cells and Tissue Engineering (pp. 23-24). Springer New York.</w:t>
      </w:r>
    </w:p>
    <w:sectPr w:rsidR="00EC0942" w:rsidRPr="00924C78" w:rsidSect="00924C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7D9A" w:rsidRDefault="00297D9A" w:rsidP="00924C78">
      <w:pPr>
        <w:spacing w:after="0" w:line="240" w:lineRule="auto"/>
      </w:pPr>
      <w:r>
        <w:separator/>
      </w:r>
    </w:p>
  </w:endnote>
  <w:endnote w:type="continuationSeparator" w:id="1">
    <w:p w:rsidR="00297D9A" w:rsidRDefault="00297D9A" w:rsidP="00924C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7D9A" w:rsidRDefault="00297D9A" w:rsidP="00924C78">
      <w:pPr>
        <w:spacing w:after="0" w:line="240" w:lineRule="auto"/>
      </w:pPr>
      <w:r>
        <w:separator/>
      </w:r>
    </w:p>
  </w:footnote>
  <w:footnote w:type="continuationSeparator" w:id="1">
    <w:p w:rsidR="00297D9A" w:rsidRDefault="00297D9A" w:rsidP="00924C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C78" w:rsidRPr="00924C78" w:rsidRDefault="00924C78" w:rsidP="00924C78">
    <w:pPr>
      <w:tabs>
        <w:tab w:val="right" w:pos="9360"/>
      </w:tabs>
      <w:rPr>
        <w:rFonts w:ascii="Times New Roman" w:hAnsi="Times New Roman" w:cs="Times New Roman"/>
        <w:sz w:val="24"/>
        <w:szCs w:val="24"/>
      </w:rPr>
    </w:pPr>
    <w:r w:rsidRPr="00924C78">
      <w:rPr>
        <w:rFonts w:ascii="Times New Roman" w:hAnsi="Times New Roman" w:cs="Times New Roman"/>
        <w:sz w:val="24"/>
        <w:szCs w:val="24"/>
      </w:rPr>
      <w:t xml:space="preserve">CORD BLOOD COLLECTION </w:t>
    </w:r>
    <w:r>
      <w:rPr>
        <w:rFonts w:ascii="Times New Roman" w:hAnsi="Times New Roman" w:cs="Times New Roman"/>
        <w:sz w:val="24"/>
        <w:szCs w:val="24"/>
      </w:rPr>
      <w:tab/>
    </w:r>
    <w:r w:rsidR="00DD0562">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DD0562">
      <w:rPr>
        <w:rFonts w:ascii="Times New Roman" w:hAnsi="Times New Roman" w:cs="Times New Roman"/>
        <w:sz w:val="24"/>
        <w:szCs w:val="24"/>
      </w:rPr>
      <w:fldChar w:fldCharType="separate"/>
    </w:r>
    <w:r w:rsidR="00A872A6">
      <w:rPr>
        <w:rFonts w:ascii="Times New Roman" w:hAnsi="Times New Roman" w:cs="Times New Roman"/>
        <w:noProof/>
        <w:sz w:val="24"/>
        <w:szCs w:val="24"/>
      </w:rPr>
      <w:t>2</w:t>
    </w:r>
    <w:r w:rsidR="00DD056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C78" w:rsidRPr="00924C78" w:rsidRDefault="00924C78" w:rsidP="00924C78">
    <w:pPr>
      <w:tabs>
        <w:tab w:val="right" w:pos="9360"/>
      </w:tabs>
      <w:rPr>
        <w:rFonts w:ascii="Times New Roman" w:hAnsi="Times New Roman" w:cs="Times New Roman"/>
        <w:sz w:val="24"/>
        <w:szCs w:val="24"/>
      </w:rPr>
    </w:pPr>
    <w:r w:rsidRPr="00924C78">
      <w:rPr>
        <w:rFonts w:ascii="Times New Roman" w:hAnsi="Times New Roman" w:cs="Times New Roman"/>
        <w:sz w:val="24"/>
        <w:szCs w:val="24"/>
      </w:rPr>
      <w:t xml:space="preserve">Running head: CORD BLOOD COLLECTION </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83B0F"/>
    <w:rsid w:val="00297D9A"/>
    <w:rsid w:val="003E37E7"/>
    <w:rsid w:val="006228DB"/>
    <w:rsid w:val="0080223A"/>
    <w:rsid w:val="00924C78"/>
    <w:rsid w:val="00A456F7"/>
    <w:rsid w:val="00A872A6"/>
    <w:rsid w:val="00AB3C33"/>
    <w:rsid w:val="00BA381E"/>
    <w:rsid w:val="00DD0562"/>
    <w:rsid w:val="00E83B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6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24C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24C78"/>
  </w:style>
  <w:style w:type="paragraph" w:styleId="Footer">
    <w:name w:val="footer"/>
    <w:basedOn w:val="Normal"/>
    <w:link w:val="FooterChar"/>
    <w:uiPriority w:val="99"/>
    <w:semiHidden/>
    <w:unhideWhenUsed/>
    <w:rsid w:val="00924C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4C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754</Words>
  <Characters>4303</Characters>
  <Application>Microsoft Office Word</Application>
  <DocSecurity>0</DocSecurity>
  <Lines>35</Lines>
  <Paragraphs>10</Paragraphs>
  <ScaleCrop>false</ScaleCrop>
  <Company/>
  <LinksUpToDate>false</LinksUpToDate>
  <CharactersWithSpaces>5047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2017-11-26T15:54:00Z</dcterms:created>
  <dcterms:modified xsi:type="dcterms:W3CDTF">2017-11-26T15:54:00Z</dcterms:modified>
</cp:coreProperties>
</file>